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R4-2120410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ascii="Arial" w:hAnsi="Arial" w:eastAsia="宋体" w:cs="Arial"/>
          <w:b/>
          <w:bCs/>
          <w:sz w:val="24"/>
          <w:lang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eastAsia="zh-CN"/>
        </w:rPr>
        <w:t>WF on the use of NCD-SSB for RedCap UE</w:t>
      </w:r>
    </w:p>
    <w:p>
      <w:pPr>
        <w:tabs>
          <w:tab w:val="left" w:pos="1985"/>
        </w:tabs>
        <w:spacing w:after="120" w:line="240" w:lineRule="auto"/>
        <w:jc w:val="both"/>
        <w:rPr>
          <w:rFonts w:ascii="Arial" w:hAnsi="Arial" w:eastAsia="宋体" w:cs="Arial"/>
          <w:b/>
          <w:bCs/>
          <w:sz w:val="24"/>
          <w:szCs w:val="20"/>
          <w:lang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eastAsia="zh-CN"/>
        </w:rPr>
        <w:t>8.20.3.4</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eastAsia="zh-CN"/>
        </w:rPr>
        <w:t>Approval</w:t>
      </w:r>
    </w:p>
    <w:p>
      <w:pPr>
        <w:pStyle w:val="27"/>
        <w:jc w:val="both"/>
        <w:rPr>
          <w:lang w:val="en-US" w:eastAsia="zh-CN"/>
        </w:rPr>
      </w:pPr>
      <w:r>
        <w:rPr>
          <w:rFonts w:hint="eastAsia"/>
          <w:lang w:val="en-US" w:eastAsia="zh-CN"/>
        </w:rPr>
        <w:t>1</w:t>
      </w:r>
      <w:r>
        <w:tab/>
      </w:r>
      <w:r>
        <w:rPr>
          <w:rFonts w:hint="eastAsia"/>
          <w:lang w:val="en-US" w:eastAsia="zh-CN"/>
        </w:rPr>
        <w:t>Background</w:t>
      </w:r>
    </w:p>
    <w:p>
      <w:pPr>
        <w:rPr>
          <w:sz w:val="22"/>
          <w:lang w:eastAsia="zh-CN"/>
        </w:rPr>
      </w:pPr>
      <w:r>
        <w:rPr>
          <w:rFonts w:hint="eastAsia"/>
          <w:sz w:val="22"/>
          <w:lang w:eastAsia="zh-CN"/>
        </w:rPr>
        <w:t>During RAN4 101-e meeting, a LS from RAN1 is received on the use of NCD-SSB for RedCap UEs [1]. RAN4 will try to provide answers to all questions raised, but for some issues companies views are quite diverse. Thus, we capture the remaining open issues in this WF for further study.</w:t>
      </w:r>
    </w:p>
    <w:p>
      <w:pPr>
        <w:pStyle w:val="27"/>
        <w:jc w:val="both"/>
        <w:rPr>
          <w:lang w:val="en-US" w:eastAsia="zh-CN"/>
        </w:rPr>
      </w:pPr>
      <w:r>
        <w:rPr>
          <w:rFonts w:hint="eastAsia"/>
          <w:lang w:val="en-US" w:eastAsia="zh-CN"/>
        </w:rPr>
        <w:t>2</w:t>
      </w:r>
      <w:r>
        <w:tab/>
      </w:r>
      <w:r>
        <w:rPr>
          <w:rFonts w:hint="eastAsia"/>
          <w:lang w:val="en-US" w:eastAsia="zh-CN"/>
        </w:rPr>
        <w:t>Way Forward</w:t>
      </w:r>
    </w:p>
    <w:p>
      <w:pPr>
        <w:rPr>
          <w:sz w:val="22"/>
          <w:lang w:eastAsia="zh-CN"/>
        </w:rPr>
      </w:pPr>
      <w:r>
        <w:rPr>
          <w:u w:val="single"/>
        </w:rPr>
        <w:t>Question 1: whether it is feasible to use NCD-SSB for serving and non-serving cell measurements for idle, inactive, and/or connected mode for all or some of RRM, RLM, BFD, link recovery, RO selection, mobility, time/frequency trackin</w:t>
      </w:r>
      <w:r>
        <w:rPr>
          <w:sz w:val="22"/>
          <w:u w:val="single"/>
        </w:rPr>
        <w:t>g and AGC</w:t>
      </w:r>
    </w:p>
    <w:p>
      <w:pPr>
        <w:pStyle w:val="25"/>
        <w:numPr>
          <w:ilvl w:val="0"/>
          <w:numId w:val="6"/>
        </w:numPr>
        <w:spacing w:line="252" w:lineRule="auto"/>
        <w:rPr>
          <w:sz w:val="22"/>
          <w:highlight w:val="green"/>
          <w:lang w:eastAsia="ja-JP"/>
        </w:rPr>
      </w:pPr>
      <w:r>
        <w:rPr>
          <w:sz w:val="22"/>
          <w:highlight w:val="green"/>
          <w:lang w:eastAsia="ja-JP"/>
        </w:rPr>
        <w:t>Agreements</w:t>
      </w:r>
    </w:p>
    <w:p>
      <w:pPr>
        <w:pStyle w:val="25"/>
        <w:numPr>
          <w:ilvl w:val="1"/>
          <w:numId w:val="6"/>
        </w:numPr>
        <w:spacing w:line="252" w:lineRule="auto"/>
        <w:rPr>
          <w:sz w:val="22"/>
          <w:highlight w:val="green"/>
          <w:lang w:eastAsia="ja-JP"/>
        </w:rPr>
      </w:pPr>
      <w:r>
        <w:rPr>
          <w:sz w:val="22"/>
          <w:highlight w:val="green"/>
          <w:lang w:eastAsia="ja-JP"/>
        </w:rPr>
        <w:t>It is feasible to use NCD-SSB for serving and non-serving cell measurements for idle, inactive, and/or connected mode for all or some of RRM, RLM, BFD, link recovery, RO selection, mobility, time/frequency tracking and AGC</w:t>
      </w:r>
    </w:p>
    <w:p>
      <w:pPr>
        <w:pStyle w:val="25"/>
        <w:numPr>
          <w:ilvl w:val="2"/>
          <w:numId w:val="6"/>
        </w:numPr>
        <w:spacing w:line="252" w:lineRule="auto"/>
        <w:rPr>
          <w:sz w:val="22"/>
          <w:lang w:eastAsia="zh-CN"/>
        </w:rPr>
      </w:pPr>
      <w:r>
        <w:rPr>
          <w:sz w:val="22"/>
          <w:highlight w:val="green"/>
          <w:lang w:eastAsia="ja-JP"/>
        </w:rPr>
        <w:t>FFS for specific conditions when it is feasible to use NCD-SSB</w:t>
      </w:r>
    </w:p>
    <w:p>
      <w:pPr>
        <w:pStyle w:val="25"/>
        <w:numPr>
          <w:ilvl w:val="2"/>
          <w:numId w:val="6"/>
        </w:numPr>
        <w:spacing w:line="252" w:lineRule="auto"/>
        <w:rPr>
          <w:sz w:val="22"/>
          <w:lang w:eastAsia="zh-CN"/>
        </w:rPr>
      </w:pPr>
      <w:r>
        <w:rPr>
          <w:sz w:val="22"/>
          <w:highlight w:val="green"/>
          <w:lang w:eastAsia="ja-JP"/>
        </w:rPr>
        <w:t>It is RAN4 understanding that NCD-SSB measurements support may require additional signalling which is up to RAN2</w:t>
      </w:r>
    </w:p>
    <w:p>
      <w:pPr>
        <w:pStyle w:val="25"/>
        <w:spacing w:line="252" w:lineRule="auto"/>
        <w:ind w:left="0"/>
        <w:rPr>
          <w:sz w:val="22"/>
          <w:lang w:eastAsia="zh-CN"/>
        </w:rPr>
      </w:pPr>
    </w:p>
    <w:p>
      <w:pPr>
        <w:rPr>
          <w:rFonts w:eastAsia="宋体"/>
          <w:sz w:val="22"/>
          <w:lang w:eastAsia="zh-CN"/>
        </w:rPr>
      </w:pPr>
      <w:r>
        <w:rPr>
          <w:sz w:val="22"/>
          <w:lang w:eastAsia="ja-JP"/>
        </w:rPr>
        <w:t>FFS for specific conditions when it is feasible to use NCD-SSB</w:t>
      </w:r>
      <w:r>
        <w:rPr>
          <w:rFonts w:hint="eastAsia" w:eastAsia="宋体"/>
          <w:sz w:val="22"/>
          <w:lang w:eastAsia="zh-CN"/>
        </w:rPr>
        <w:t>:</w:t>
      </w:r>
    </w:p>
    <w:p>
      <w:pPr>
        <w:pStyle w:val="25"/>
        <w:numPr>
          <w:ilvl w:val="1"/>
          <w:numId w:val="6"/>
        </w:numPr>
        <w:spacing w:line="252" w:lineRule="auto"/>
        <w:rPr>
          <w:sz w:val="22"/>
          <w:lang w:eastAsia="ja-JP"/>
        </w:rPr>
      </w:pPr>
      <w:r>
        <w:rPr>
          <w:sz w:val="22"/>
          <w:lang w:eastAsia="ja-JP"/>
        </w:rPr>
        <w:t>Condition 1: NCD-SSB is ‘QCL’-ed with CD-SSB</w:t>
      </w:r>
    </w:p>
    <w:p>
      <w:pPr>
        <w:pStyle w:val="25"/>
        <w:numPr>
          <w:ilvl w:val="1"/>
          <w:numId w:val="6"/>
        </w:numPr>
        <w:spacing w:line="252" w:lineRule="auto"/>
        <w:rPr>
          <w:sz w:val="22"/>
          <w:lang w:eastAsia="ja-JP"/>
        </w:rPr>
      </w:pPr>
      <w:r>
        <w:rPr>
          <w:sz w:val="22"/>
          <w:lang w:eastAsia="ja-JP"/>
        </w:rPr>
        <w:t>Condition 2: NCD-SSB is transmitted by UE’s serving cell with the same SCS</w:t>
      </w:r>
    </w:p>
    <w:p>
      <w:pPr>
        <w:pStyle w:val="25"/>
        <w:numPr>
          <w:ilvl w:val="1"/>
          <w:numId w:val="6"/>
        </w:numPr>
        <w:spacing w:line="252" w:lineRule="auto"/>
        <w:rPr>
          <w:sz w:val="22"/>
          <w:lang w:eastAsia="ja-JP"/>
        </w:rPr>
      </w:pPr>
      <w:r>
        <w:rPr>
          <w:sz w:val="22"/>
          <w:lang w:eastAsia="ja-JP"/>
        </w:rPr>
        <w:t>Condition 3: Neighboring cell’s NCD-SSB shall be placed to collide with serving cells’ NCD-SSB, if neighboring cell measurement is of necessity.</w:t>
      </w:r>
    </w:p>
    <w:p>
      <w:pPr>
        <w:pStyle w:val="25"/>
        <w:numPr>
          <w:ilvl w:val="1"/>
          <w:numId w:val="6"/>
        </w:numPr>
        <w:spacing w:line="252" w:lineRule="auto"/>
        <w:rPr>
          <w:sz w:val="22"/>
          <w:lang w:eastAsia="ja-JP"/>
        </w:rPr>
      </w:pPr>
      <w:r>
        <w:rPr>
          <w:rFonts w:eastAsiaTheme="minorEastAsia"/>
          <w:sz w:val="22"/>
          <w:lang w:eastAsia="zh-CN"/>
        </w:rPr>
        <w:t>O</w:t>
      </w:r>
      <w:r>
        <w:rPr>
          <w:rFonts w:hint="eastAsia" w:eastAsiaTheme="minorEastAsia"/>
          <w:sz w:val="22"/>
          <w:lang w:eastAsia="zh-CN"/>
        </w:rPr>
        <w:t xml:space="preserve">ther </w:t>
      </w:r>
      <w:r>
        <w:rPr>
          <w:rFonts w:eastAsiaTheme="minorEastAsia"/>
          <w:sz w:val="22"/>
          <w:lang w:eastAsia="zh-CN"/>
        </w:rPr>
        <w:t>conditions are not precluded.</w:t>
      </w:r>
    </w:p>
    <w:p>
      <w:pPr>
        <w:rPr>
          <w:sz w:val="22"/>
          <w:lang w:eastAsia="zh-CN"/>
        </w:rPr>
      </w:pPr>
    </w:p>
    <w:p>
      <w:pPr>
        <w:rPr>
          <w:sz w:val="22"/>
          <w:lang w:eastAsia="zh-CN"/>
        </w:rPr>
      </w:pPr>
      <w:r>
        <w:rPr>
          <w:sz w:val="22"/>
          <w:u w:val="single"/>
        </w:rPr>
        <w:t>Question 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pPr>
        <w:rPr>
          <w:bCs/>
          <w:sz w:val="22"/>
          <w:lang w:eastAsia="zh-CN"/>
        </w:rPr>
      </w:pPr>
      <w:r>
        <w:rPr>
          <w:rFonts w:hint="eastAsia"/>
          <w:bCs/>
          <w:sz w:val="22"/>
          <w:lang w:eastAsia="zh-CN"/>
        </w:rPr>
        <w:t>FFS on SSB indexes</w:t>
      </w:r>
    </w:p>
    <w:p>
      <w:pPr>
        <w:rPr>
          <w:rFonts w:eastAsia="宋体"/>
          <w:bCs/>
          <w:sz w:val="22"/>
          <w:lang w:eastAsia="zh-CN"/>
        </w:rPr>
      </w:pPr>
      <w:r>
        <w:rPr>
          <w:rFonts w:hint="eastAsia"/>
          <w:bCs/>
          <w:sz w:val="22"/>
          <w:lang w:eastAsia="zh-CN"/>
        </w:rPr>
        <w:t xml:space="preserve">Option 1: </w:t>
      </w:r>
      <w:r>
        <w:rPr>
          <w:bCs/>
          <w:sz w:val="22"/>
        </w:rPr>
        <w:t>SSB indexes of CD-SSB and NCD-SSB can be the same</w:t>
      </w:r>
      <w:r>
        <w:rPr>
          <w:rFonts w:hint="eastAsia" w:eastAsia="宋体"/>
          <w:bCs/>
          <w:sz w:val="22"/>
          <w:lang w:eastAsia="zh-CN"/>
        </w:rPr>
        <w:t>.</w:t>
      </w:r>
    </w:p>
    <w:p>
      <w:pPr>
        <w:rPr>
          <w:rFonts w:eastAsia="宋体"/>
          <w:bCs/>
          <w:sz w:val="22"/>
          <w:lang w:eastAsia="zh-CN"/>
        </w:rPr>
      </w:pPr>
      <w:r>
        <w:rPr>
          <w:rFonts w:hint="eastAsia" w:eastAsia="宋体"/>
          <w:bCs/>
          <w:sz w:val="22"/>
          <w:lang w:eastAsia="zh-CN"/>
        </w:rPr>
        <w:t>Other options not precluded.</w:t>
      </w:r>
    </w:p>
    <w:p>
      <w:pPr>
        <w:rPr>
          <w:rFonts w:eastAsia="宋体"/>
          <w:bCs/>
          <w:sz w:val="22"/>
          <w:lang w:eastAsia="zh-CN"/>
        </w:rPr>
      </w:pPr>
    </w:p>
    <w:p>
      <w:pPr>
        <w:rPr>
          <w:bCs/>
          <w:sz w:val="22"/>
          <w:u w:val="single"/>
        </w:rPr>
      </w:pPr>
      <w:r>
        <w:rPr>
          <w:rFonts w:hint="eastAsia" w:eastAsia="宋体"/>
          <w:bCs/>
          <w:sz w:val="22"/>
          <w:u w:val="single"/>
          <w:lang w:eastAsia="zh-CN"/>
        </w:rPr>
        <w:t xml:space="preserve">Question 5 </w:t>
      </w:r>
      <w:r>
        <w:rPr>
          <w:bCs/>
          <w:sz w:val="22"/>
          <w:u w:val="single"/>
        </w:rPr>
        <w:t>[RAN2/4] whether it is necessary to introduce configuration limitations for NCD-SSB (e.g., regarding frequency locations, periodicity), e.g., to ensure coexistence with legacy UEs</w:t>
      </w:r>
    </w:p>
    <w:p>
      <w:pPr>
        <w:rPr>
          <w:bCs/>
          <w:sz w:val="22"/>
        </w:rPr>
      </w:pPr>
      <w:r>
        <w:rPr>
          <w:rFonts w:hint="eastAsia"/>
          <w:bCs/>
          <w:sz w:val="22"/>
        </w:rPr>
        <w:t>Option 1: No limitation for NCD-SSB is necessary, up to the network.</w:t>
      </w:r>
    </w:p>
    <w:p>
      <w:pPr>
        <w:rPr>
          <w:bCs/>
          <w:sz w:val="22"/>
        </w:rPr>
      </w:pPr>
      <w:r>
        <w:rPr>
          <w:rFonts w:hint="eastAsia"/>
          <w:bCs/>
          <w:sz w:val="22"/>
        </w:rPr>
        <w:t>Option 2: NCD-SSB should be configured off sync raster.</w:t>
      </w:r>
    </w:p>
    <w:p>
      <w:pPr>
        <w:rPr>
          <w:bCs/>
          <w:sz w:val="22"/>
        </w:rPr>
      </w:pPr>
      <w:r>
        <w:rPr>
          <w:rFonts w:hint="eastAsia"/>
          <w:bCs/>
          <w:sz w:val="22"/>
        </w:rPr>
        <w:t>Option 2a: NCD-SSB should be configured off sync raster and with the same subcarrier spacing, same PCI and same ssb-PositionsInBurst as the CD-SSB.</w:t>
      </w:r>
    </w:p>
    <w:p>
      <w:pPr>
        <w:rPr>
          <w:bCs/>
          <w:sz w:val="22"/>
        </w:rPr>
      </w:pPr>
      <w:r>
        <w:rPr>
          <w:rFonts w:hint="eastAsia"/>
          <w:bCs/>
          <w:sz w:val="22"/>
        </w:rPr>
        <w:t>Option 3: The periodicity of NCD-SSB may be supposed to be longer than CD-SSB.</w:t>
      </w:r>
    </w:p>
    <w:p>
      <w:pPr>
        <w:rPr>
          <w:bCs/>
          <w:sz w:val="22"/>
        </w:rPr>
      </w:pPr>
      <w:r>
        <w:rPr>
          <w:rFonts w:hint="eastAsia"/>
          <w:bCs/>
          <w:sz w:val="22"/>
        </w:rPr>
        <w:t>Option 4: A good rule for it can be max{20ms, periodicity of CD-SSB}.</w:t>
      </w:r>
    </w:p>
    <w:p>
      <w:pPr>
        <w:rPr>
          <w:bCs/>
          <w:sz w:val="22"/>
        </w:rPr>
      </w:pPr>
      <w:r>
        <w:rPr>
          <w:rFonts w:hint="eastAsia"/>
          <w:bCs/>
          <w:sz w:val="22"/>
        </w:rPr>
        <w:t>Option 5: The carrier center frequency and SSB bandwidth (NCD-SSB and CD-SSB BW) are not overlapped.</w:t>
      </w:r>
    </w:p>
    <w:p>
      <w:pPr>
        <w:rPr>
          <w:bCs/>
          <w:sz w:val="22"/>
        </w:rPr>
      </w:pPr>
      <w:r>
        <w:rPr>
          <w:rFonts w:hint="eastAsia"/>
          <w:bCs/>
          <w:sz w:val="22"/>
        </w:rPr>
        <w:t>Option 6: If NCD-SSB is used for synchronization: a maximum period of 20 ms.</w:t>
      </w:r>
    </w:p>
    <w:p>
      <w:pPr>
        <w:rPr>
          <w:bCs/>
          <w:sz w:val="22"/>
        </w:rPr>
      </w:pPr>
      <w:r>
        <w:rPr>
          <w:bCs/>
          <w:sz w:val="22"/>
        </w:rPr>
        <w:t>Option 7: To avoid peforming power boosting for NCD-SSBs and CD-SSB simultaneously for network, NCD-SSBs and CD-SSB can be transmitted in different half-frames</w:t>
      </w:r>
    </w:p>
    <w:p>
      <w:pPr>
        <w:rPr>
          <w:rFonts w:hint="eastAsia" w:eastAsiaTheme="minorEastAsia"/>
          <w:bCs/>
          <w:sz w:val="22"/>
          <w:lang w:eastAsia="zh-CN"/>
        </w:rPr>
      </w:pPr>
      <w:r>
        <w:rPr>
          <w:rFonts w:eastAsiaTheme="minorEastAsia"/>
          <w:bCs/>
          <w:sz w:val="22"/>
          <w:lang w:eastAsia="zh-CN"/>
        </w:rPr>
        <w:t>O</w:t>
      </w:r>
      <w:r>
        <w:rPr>
          <w:rFonts w:hint="eastAsia" w:eastAsiaTheme="minorEastAsia"/>
          <w:bCs/>
          <w:sz w:val="22"/>
          <w:lang w:eastAsia="zh-CN"/>
        </w:rPr>
        <w:t xml:space="preserve">ther </w:t>
      </w:r>
      <w:r>
        <w:rPr>
          <w:rFonts w:eastAsiaTheme="minorEastAsia"/>
          <w:bCs/>
          <w:sz w:val="22"/>
          <w:lang w:eastAsia="zh-CN"/>
        </w:rPr>
        <w:t>options are not precluded.</w:t>
      </w:r>
    </w:p>
    <w:p>
      <w:pPr>
        <w:rPr>
          <w:rFonts w:hint="eastAsia" w:eastAsia="宋体"/>
          <w:bCs/>
          <w:sz w:val="22"/>
          <w:u w:val="single"/>
          <w:lang w:eastAsia="zh-CN"/>
        </w:rPr>
      </w:pPr>
    </w:p>
    <w:p>
      <w:pPr>
        <w:rPr>
          <w:bCs/>
          <w:sz w:val="22"/>
          <w:lang w:eastAsia="zh-CN"/>
        </w:rPr>
      </w:pPr>
      <w:r>
        <w:rPr>
          <w:rFonts w:hint="eastAsia" w:eastAsia="宋体"/>
          <w:bCs/>
          <w:sz w:val="22"/>
          <w:u w:val="single"/>
          <w:lang w:eastAsia="zh-CN"/>
        </w:rPr>
        <w:t xml:space="preserve">Question 6 </w:t>
      </w:r>
      <w:r>
        <w:rPr>
          <w:bCs/>
          <w:sz w:val="22"/>
          <w:u w:val="single"/>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pPr>
        <w:rPr>
          <w:bCs/>
          <w:sz w:val="22"/>
          <w:lang w:eastAsia="zh-CN"/>
        </w:rPr>
      </w:pPr>
      <w:r>
        <w:rPr>
          <w:rFonts w:hint="eastAsia"/>
          <w:bCs/>
          <w:sz w:val="22"/>
          <w:lang w:eastAsia="zh-CN"/>
        </w:rPr>
        <w:t>For CSI-RS:</w:t>
      </w:r>
    </w:p>
    <w:p>
      <w:pPr>
        <w:rPr>
          <w:bCs/>
          <w:sz w:val="22"/>
          <w:lang w:eastAsia="zh-CN"/>
        </w:rPr>
      </w:pPr>
      <w:r>
        <w:rPr>
          <w:bCs/>
          <w:sz w:val="22"/>
          <w:lang w:eastAsia="zh-CN"/>
        </w:rPr>
        <w:t xml:space="preserve">Option 1: CSI-RS is a feasible alternative. </w:t>
      </w:r>
    </w:p>
    <w:p>
      <w:pPr>
        <w:ind w:firstLine="440" w:firstLineChars="200"/>
        <w:rPr>
          <w:bCs/>
          <w:sz w:val="22"/>
          <w:lang w:eastAsia="zh-CN"/>
        </w:rPr>
      </w:pPr>
      <w:r>
        <w:rPr>
          <w:bCs/>
          <w:sz w:val="22"/>
          <w:lang w:eastAsia="zh-CN"/>
        </w:rPr>
        <w:t xml:space="preserve">Option 1a: CSI-RS is not a desirable alternative. </w:t>
      </w:r>
    </w:p>
    <w:p>
      <w:pPr>
        <w:rPr>
          <w:bCs/>
          <w:sz w:val="22"/>
          <w:lang w:eastAsia="zh-CN"/>
        </w:rPr>
      </w:pPr>
      <w:r>
        <w:rPr>
          <w:bCs/>
          <w:sz w:val="22"/>
          <w:lang w:eastAsia="zh-CN"/>
        </w:rPr>
        <w:t>Option 2: CSI-RS is not a feasible alternative.</w:t>
      </w:r>
    </w:p>
    <w:p>
      <w:pPr>
        <w:rPr>
          <w:bCs/>
          <w:sz w:val="22"/>
          <w:lang w:eastAsia="zh-CN"/>
        </w:rPr>
      </w:pPr>
      <w:r>
        <w:rPr>
          <w:rFonts w:hint="eastAsia"/>
          <w:bCs/>
          <w:sz w:val="22"/>
          <w:lang w:eastAsia="zh-CN"/>
        </w:rPr>
        <w:t>For RF retuning:</w:t>
      </w:r>
    </w:p>
    <w:p>
      <w:pPr>
        <w:rPr>
          <w:bCs/>
          <w:sz w:val="22"/>
          <w:lang w:eastAsia="zh-CN"/>
        </w:rPr>
      </w:pPr>
      <w:r>
        <w:rPr>
          <w:rFonts w:hint="eastAsia"/>
          <w:bCs/>
          <w:sz w:val="22"/>
          <w:lang w:eastAsia="zh-CN"/>
        </w:rPr>
        <w:t xml:space="preserve">Option 1: RF retuning is a feasible alternative. </w:t>
      </w:r>
    </w:p>
    <w:p>
      <w:pPr>
        <w:rPr>
          <w:bCs/>
          <w:sz w:val="22"/>
          <w:lang w:eastAsia="zh-CN"/>
        </w:rPr>
      </w:pPr>
      <w:r>
        <w:rPr>
          <w:rFonts w:hint="eastAsia"/>
          <w:bCs/>
          <w:sz w:val="22"/>
          <w:lang w:eastAsia="zh-CN"/>
        </w:rPr>
        <w:t>Option 1a: RF retuning is not a desirable alternative.</w:t>
      </w:r>
    </w:p>
    <w:p>
      <w:pPr>
        <w:rPr>
          <w:bCs/>
          <w:sz w:val="22"/>
          <w:lang w:eastAsia="zh-CN"/>
        </w:rPr>
      </w:pPr>
    </w:p>
    <w:p>
      <w:pPr>
        <w:rPr>
          <w:bCs/>
          <w:sz w:val="22"/>
          <w:u w:val="single"/>
          <w:lang w:eastAsia="zh-CN"/>
        </w:rPr>
      </w:pPr>
      <w:r>
        <w:rPr>
          <w:rFonts w:hint="eastAsia"/>
          <w:bCs/>
          <w:sz w:val="22"/>
          <w:u w:val="single"/>
          <w:lang w:eastAsia="zh-CN"/>
        </w:rPr>
        <w:t>Question 7 [RAN2/4] whether it is feasible for a RedCap UE to retune to a CD-SSB rather than use an NCD-SSB of larger periodicity</w:t>
      </w:r>
    </w:p>
    <w:p>
      <w:pPr>
        <w:rPr>
          <w:bCs/>
          <w:sz w:val="22"/>
          <w:lang w:eastAsia="zh-CN"/>
        </w:rPr>
      </w:pPr>
      <w:r>
        <w:rPr>
          <w:rFonts w:hint="eastAsia"/>
          <w:bCs/>
          <w:sz w:val="22"/>
          <w:lang w:eastAsia="zh-CN"/>
        </w:rPr>
        <w:t>Option 1: Yes, feasible.</w:t>
      </w:r>
    </w:p>
    <w:p>
      <w:pPr>
        <w:ind w:firstLine="440" w:firstLineChars="200"/>
        <w:rPr>
          <w:bCs/>
          <w:sz w:val="22"/>
          <w:lang w:eastAsia="zh-CN"/>
        </w:rPr>
      </w:pPr>
      <w:r>
        <w:rPr>
          <w:rFonts w:hint="eastAsia"/>
          <w:bCs/>
          <w:sz w:val="22"/>
          <w:lang w:eastAsia="zh-CN"/>
        </w:rPr>
        <w:t xml:space="preserve">Option 1a: Not a desirable alternative due to negative impact on performance. </w:t>
      </w:r>
    </w:p>
    <w:p>
      <w:pPr>
        <w:rPr>
          <w:bCs/>
          <w:sz w:val="22"/>
          <w:lang w:eastAsia="zh-CN"/>
        </w:rPr>
      </w:pPr>
      <w:r>
        <w:rPr>
          <w:rFonts w:hint="eastAsia"/>
          <w:bCs/>
          <w:sz w:val="22"/>
          <w:lang w:eastAsia="zh-CN"/>
        </w:rPr>
        <w:t>Option 2: It is not clear to RAN4 about the use case, clarification is needed.</w:t>
      </w:r>
    </w:p>
    <w:p>
      <w:pPr>
        <w:rPr>
          <w:bCs/>
          <w:sz w:val="22"/>
          <w:lang w:eastAsia="zh-CN"/>
        </w:rPr>
      </w:pPr>
      <w:r>
        <w:rPr>
          <w:rFonts w:hint="eastAsia"/>
          <w:bCs/>
          <w:sz w:val="22"/>
          <w:lang w:eastAsia="zh-CN"/>
        </w:rPr>
        <w:t xml:space="preserve">Option 3: Some assumptions are needed on the relation between NCD-SSB and CD-SSB to answer this question. </w:t>
      </w:r>
    </w:p>
    <w:p>
      <w:pPr>
        <w:rPr>
          <w:bCs/>
          <w:sz w:val="22"/>
          <w:lang w:eastAsia="zh-CN"/>
        </w:rPr>
      </w:pPr>
    </w:p>
    <w:p>
      <w:pPr>
        <w:rPr>
          <w:bCs/>
          <w:sz w:val="22"/>
          <w:u w:val="single"/>
          <w:lang w:eastAsia="zh-CN"/>
        </w:rPr>
      </w:pPr>
      <w:r>
        <w:rPr>
          <w:rFonts w:hint="eastAsia"/>
          <w:bCs/>
          <w:sz w:val="22"/>
          <w:u w:val="single"/>
          <w:lang w:eastAsia="zh-CN"/>
        </w:rPr>
        <w:t>Question 8 [RAN2/4] any other potential impacts identified by RAN2/4 on support NCD-SSB for measurement</w:t>
      </w:r>
    </w:p>
    <w:p>
      <w:pPr>
        <w:rPr>
          <w:bCs/>
          <w:sz w:val="22"/>
          <w:lang w:eastAsia="zh-CN"/>
        </w:rPr>
      </w:pPr>
      <w:r>
        <w:rPr>
          <w:rFonts w:hint="eastAsia"/>
          <w:bCs/>
          <w:sz w:val="22"/>
          <w:lang w:eastAsia="zh-CN"/>
        </w:rPr>
        <w:t>Option 1: Questions 1~7 shall be clarified.</w:t>
      </w:r>
    </w:p>
    <w:p>
      <w:pPr>
        <w:rPr>
          <w:bCs/>
          <w:sz w:val="22"/>
          <w:lang w:eastAsia="zh-CN"/>
        </w:rPr>
      </w:pPr>
      <w:r>
        <w:rPr>
          <w:rFonts w:hint="eastAsia"/>
          <w:bCs/>
          <w:sz w:val="22"/>
          <w:lang w:eastAsia="zh-CN"/>
        </w:rPr>
        <w:t xml:space="preserve">Option 2: No other impacts. </w:t>
      </w:r>
    </w:p>
    <w:p>
      <w:pPr>
        <w:rPr>
          <w:bCs/>
          <w:sz w:val="22"/>
          <w:lang w:eastAsia="zh-CN"/>
        </w:rPr>
      </w:pPr>
      <w:r>
        <w:rPr>
          <w:rFonts w:hint="eastAsia"/>
          <w:bCs/>
          <w:sz w:val="22"/>
          <w:lang w:eastAsia="zh-CN"/>
        </w:rPr>
        <w:t>Option 3: Either same or different Tx power will cause problems.</w:t>
      </w:r>
    </w:p>
    <w:p>
      <w:pPr>
        <w:rPr>
          <w:bCs/>
          <w:sz w:val="22"/>
          <w:lang w:eastAsia="zh-CN"/>
        </w:rPr>
      </w:pPr>
    </w:p>
    <w:p>
      <w:pPr>
        <w:rPr>
          <w:bCs/>
          <w:sz w:val="22"/>
          <w:lang w:eastAsia="zh-CN"/>
        </w:rPr>
      </w:pPr>
      <w:r>
        <w:rPr>
          <w:rFonts w:hint="eastAsia"/>
          <w:bCs/>
          <w:sz w:val="22"/>
          <w:u w:val="single"/>
          <w:lang w:eastAsia="zh-CN"/>
        </w:rPr>
        <w:t>The below WF is related to reply LS on UE capability assumptions (RAN2 LS R2-2109218)</w:t>
      </w:r>
    </w:p>
    <w:p>
      <w:pPr>
        <w:rPr>
          <w:bCs/>
          <w:sz w:val="22"/>
          <w:lang w:eastAsia="zh-CN"/>
        </w:rPr>
      </w:pPr>
      <w:r>
        <w:rPr>
          <w:rFonts w:hint="eastAsia"/>
          <w:bCs/>
          <w:sz w:val="22"/>
          <w:lang w:eastAsia="zh-CN"/>
        </w:rPr>
        <w:t>For the UE capability assumption, RAN4 has the following agreement:</w:t>
      </w:r>
    </w:p>
    <w:p>
      <w:pPr>
        <w:shd w:val="clear" w:color="auto" w:fill="FFFFFF"/>
        <w:spacing w:after="0"/>
        <w:rPr>
          <w:rFonts w:ascii="Arial" w:hAnsi="Arial" w:cs="Arial"/>
          <w:color w:val="000000"/>
          <w:sz w:val="22"/>
        </w:rPr>
      </w:pPr>
      <w:r>
        <w:rPr>
          <w:rFonts w:ascii="Arial" w:hAnsi="Arial" w:cs="Arial"/>
          <w:i/>
          <w:color w:val="000000"/>
          <w:sz w:val="22"/>
          <w:shd w:val="clear" w:color="auto" w:fill="FFFFFF"/>
          <w:lang w:eastAsia="zh-CN" w:bidi="ar"/>
        </w:rPr>
        <w:t>RAN4 has agreed to define RRM requirements for following two</w:t>
      </w:r>
      <w:r>
        <w:rPr>
          <w:rFonts w:hint="eastAsia" w:ascii="Arial" w:hAnsi="Arial" w:cs="Arial"/>
          <w:i/>
          <w:color w:val="000000"/>
          <w:sz w:val="22"/>
          <w:shd w:val="clear" w:color="auto" w:fill="FFFFFF"/>
          <w:lang w:eastAsia="zh-CN" w:bidi="ar"/>
        </w:rPr>
        <w:t xml:space="preserve"> Rel-16</w:t>
      </w:r>
      <w:r>
        <w:rPr>
          <w:rFonts w:ascii="Arial" w:hAnsi="Arial" w:cs="Arial"/>
          <w:i/>
          <w:color w:val="000000"/>
          <w:sz w:val="22"/>
          <w:shd w:val="clear" w:color="auto" w:fill="FFFFFF"/>
          <w:lang w:eastAsia="zh-CN" w:bidi="ar"/>
        </w:rPr>
        <w:t> features.</w:t>
      </w:r>
    </w:p>
    <w:p>
      <w:pPr>
        <w:shd w:val="clear" w:color="auto" w:fill="FFFFFF"/>
        <w:spacing w:after="0"/>
        <w:rPr>
          <w:rFonts w:ascii="Arial" w:hAnsi="Arial" w:cs="Arial"/>
          <w:color w:val="000000"/>
          <w:sz w:val="22"/>
        </w:rPr>
      </w:pPr>
      <w:r>
        <w:rPr>
          <w:rFonts w:ascii="Arial" w:hAnsi="Arial" w:cs="Arial"/>
          <w:i/>
          <w:color w:val="000000"/>
          <w:sz w:val="22"/>
          <w:shd w:val="clear" w:color="auto" w:fill="FFFFFF"/>
          <w:lang w:eastAsia="zh-CN" w:bidi="ar"/>
        </w:rPr>
        <w:t> </w:t>
      </w:r>
    </w:p>
    <w:p>
      <w:pPr>
        <w:shd w:val="clear" w:color="auto" w:fill="FFFFFF"/>
        <w:spacing w:after="100" w:line="221" w:lineRule="atLeast"/>
        <w:ind w:left="720" w:hanging="360"/>
        <w:jc w:val="both"/>
        <w:rPr>
          <w:rFonts w:ascii="Arial" w:hAnsi="Arial" w:cs="Arial"/>
          <w:color w:val="000000"/>
          <w:sz w:val="22"/>
        </w:rPr>
      </w:pPr>
      <w:r>
        <w:rPr>
          <w:rFonts w:ascii="Arial" w:hAnsi="Arial" w:cs="Arial"/>
          <w:color w:val="000000"/>
          <w:sz w:val="22"/>
          <w:shd w:val="clear" w:color="auto" w:fill="FFFFFF"/>
          <w:lang w:eastAsia="zh-CN" w:bidi="ar"/>
        </w:rPr>
        <w:t>o    </w:t>
      </w:r>
      <w:r>
        <w:rPr>
          <w:rFonts w:ascii="Arial" w:hAnsi="Arial" w:cs="Arial"/>
          <w:i/>
          <w:color w:val="000000"/>
          <w:sz w:val="22"/>
          <w:shd w:val="clear" w:color="auto" w:fill="FFFFFF"/>
          <w:lang w:eastAsia="zh-CN" w:bidi="ar"/>
        </w:rPr>
        <w:t>2-step RA</w:t>
      </w:r>
    </w:p>
    <w:p>
      <w:pPr>
        <w:shd w:val="clear" w:color="auto" w:fill="FFFFFF"/>
        <w:spacing w:after="100" w:line="221" w:lineRule="atLeast"/>
        <w:ind w:left="720" w:hanging="360"/>
        <w:jc w:val="both"/>
        <w:rPr>
          <w:rFonts w:ascii="Arial" w:hAnsi="Arial" w:cs="Arial"/>
          <w:color w:val="000000"/>
          <w:sz w:val="22"/>
        </w:rPr>
      </w:pPr>
      <w:r>
        <w:rPr>
          <w:rFonts w:ascii="Arial" w:hAnsi="Arial" w:cs="Arial"/>
          <w:color w:val="000000"/>
          <w:sz w:val="22"/>
          <w:shd w:val="clear" w:color="auto" w:fill="FFFFFF"/>
          <w:lang w:eastAsia="zh-CN" w:bidi="ar"/>
        </w:rPr>
        <w:t>o    </w:t>
      </w:r>
      <w:r>
        <w:rPr>
          <w:rFonts w:ascii="Arial" w:hAnsi="Arial" w:cs="Arial"/>
          <w:i/>
          <w:color w:val="000000"/>
          <w:sz w:val="22"/>
          <w:shd w:val="clear" w:color="auto" w:fill="FFFFFF"/>
          <w:lang w:eastAsia="zh-CN" w:bidi="ar"/>
        </w:rPr>
        <w:t>NR measurements with autonomous gaps</w:t>
      </w:r>
    </w:p>
    <w:p>
      <w:pPr>
        <w:shd w:val="clear" w:color="auto" w:fill="FFFFFF"/>
        <w:spacing w:after="0"/>
        <w:rPr>
          <w:rFonts w:ascii="Arial" w:hAnsi="Arial" w:cs="Arial"/>
          <w:color w:val="000000"/>
          <w:sz w:val="22"/>
        </w:rPr>
      </w:pPr>
      <w:r>
        <w:rPr>
          <w:rFonts w:ascii="Arial" w:hAnsi="Arial" w:cs="Arial"/>
          <w:i/>
          <w:color w:val="000000"/>
          <w:sz w:val="22"/>
          <w:shd w:val="clear" w:color="auto" w:fill="FFFFFF"/>
          <w:lang w:eastAsia="zh-CN" w:bidi="ar"/>
        </w:rPr>
        <w:t> </w:t>
      </w:r>
    </w:p>
    <w:p>
      <w:pPr>
        <w:shd w:val="clear" w:color="auto" w:fill="FFFFFF"/>
        <w:spacing w:after="120"/>
        <w:jc w:val="both"/>
        <w:rPr>
          <w:rFonts w:ascii="Arial" w:hAnsi="Arial" w:cs="Arial"/>
          <w:color w:val="000000"/>
          <w:sz w:val="22"/>
        </w:rPr>
      </w:pPr>
      <w:r>
        <w:rPr>
          <w:rFonts w:ascii="Arial" w:hAnsi="Arial" w:cs="Arial"/>
          <w:i/>
          <w:color w:val="000000"/>
          <w:sz w:val="22"/>
          <w:shd w:val="clear" w:color="auto" w:fill="FFFFFF"/>
          <w:lang w:eastAsia="zh-CN" w:bidi="ar"/>
        </w:rPr>
        <w:t>For the above two features, RAN4 will also define additional requirements specific to RedCap.</w:t>
      </w:r>
    </w:p>
    <w:p>
      <w:pPr>
        <w:shd w:val="clear" w:color="auto" w:fill="FFFFFF"/>
        <w:spacing w:after="120"/>
        <w:jc w:val="both"/>
        <w:rPr>
          <w:rFonts w:ascii="Arial" w:hAnsi="Arial" w:cs="Arial"/>
          <w:bCs/>
          <w:sz w:val="22"/>
          <w:lang w:eastAsia="zh-CN"/>
        </w:rPr>
      </w:pPr>
      <w:r>
        <w:rPr>
          <w:rFonts w:ascii="Arial" w:hAnsi="Arial" w:cs="Arial"/>
          <w:i/>
          <w:color w:val="000000"/>
          <w:sz w:val="22"/>
          <w:shd w:val="clear" w:color="auto" w:fill="FFFFFF"/>
          <w:lang w:eastAsia="zh-CN" w:bidi="ar"/>
        </w:rPr>
        <w:t>In addition, RAN4 will also define RRM requirements for Small data transmissions (SDT) in release 17 for RedCap capable UEs.</w:t>
      </w:r>
    </w:p>
    <w:p>
      <w:pPr>
        <w:rPr>
          <w:bCs/>
          <w:sz w:val="22"/>
          <w:lang w:eastAsia="zh-CN"/>
        </w:rPr>
      </w:pP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eastAsia="宋体"/>
          <w:sz w:val="22"/>
          <w:lang w:eastAsia="zh-CN"/>
        </w:rPr>
      </w:pPr>
      <w:r>
        <w:rPr>
          <w:rFonts w:hint="eastAsia"/>
          <w:bCs/>
          <w:lang w:eastAsia="zh-CN"/>
        </w:rPr>
        <w:t>R4-2117599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trackRevisions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27B6"/>
    <w:rsid w:val="00024821"/>
    <w:rsid w:val="00075081"/>
    <w:rsid w:val="0008612A"/>
    <w:rsid w:val="000A5622"/>
    <w:rsid w:val="000B0056"/>
    <w:rsid w:val="000B615D"/>
    <w:rsid w:val="000D3E70"/>
    <w:rsid w:val="000D5C4C"/>
    <w:rsid w:val="000D6D48"/>
    <w:rsid w:val="000F340F"/>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31D61"/>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E09CD"/>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F37217"/>
    <w:rsid w:val="046B1F2F"/>
    <w:rsid w:val="04C77D0A"/>
    <w:rsid w:val="04D5204C"/>
    <w:rsid w:val="051F0641"/>
    <w:rsid w:val="059B61E4"/>
    <w:rsid w:val="05A86143"/>
    <w:rsid w:val="05D42FA6"/>
    <w:rsid w:val="06105DAC"/>
    <w:rsid w:val="06566714"/>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C70254"/>
    <w:rsid w:val="22DF0545"/>
    <w:rsid w:val="231C53C0"/>
    <w:rsid w:val="23514077"/>
    <w:rsid w:val="23855295"/>
    <w:rsid w:val="238F59E1"/>
    <w:rsid w:val="23B20773"/>
    <w:rsid w:val="23CF6D67"/>
    <w:rsid w:val="23FF1EED"/>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67D3E"/>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3B69F7"/>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AA2FFD"/>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7169CE"/>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AE62FE"/>
    <w:rsid w:val="4CF05EAC"/>
    <w:rsid w:val="4D102CB4"/>
    <w:rsid w:val="4D9E609E"/>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A44B92"/>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94708A"/>
    <w:rsid w:val="67CE0CE2"/>
    <w:rsid w:val="67DA4215"/>
    <w:rsid w:val="67E42DFA"/>
    <w:rsid w:val="681D58BA"/>
    <w:rsid w:val="68EB3ADC"/>
    <w:rsid w:val="68EE3D45"/>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DE45EC"/>
    <w:rsid w:val="77EF22D8"/>
    <w:rsid w:val="780F30C4"/>
    <w:rsid w:val="78204380"/>
    <w:rsid w:val="78384CBC"/>
    <w:rsid w:val="784258BF"/>
    <w:rsid w:val="793758F2"/>
    <w:rsid w:val="79943F97"/>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F225A2"/>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标题 2 Char"/>
    <w:basedOn w:val="19"/>
    <w:link w:val="3"/>
    <w:qFormat/>
    <w:uiPriority w:val="0"/>
    <w:rPr>
      <w:rFonts w:ascii="Arial" w:hAnsi="Arial" w:eastAsia="Times New Roman" w:cs="Times New Roman"/>
      <w:sz w:val="32"/>
      <w:szCs w:val="20"/>
      <w:lang w:val="en-GB"/>
    </w:rPr>
  </w:style>
  <w:style w:type="character" w:customStyle="1" w:styleId="24">
    <w:name w:val="标题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列出段落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标题1"/>
    <w:basedOn w:val="2"/>
    <w:next w:val="1"/>
    <w:unhideWhenUsed/>
    <w:qFormat/>
    <w:uiPriority w:val="39"/>
    <w:pPr>
      <w:outlineLvl w:val="9"/>
    </w:pPr>
  </w:style>
  <w:style w:type="character" w:customStyle="1" w:styleId="37">
    <w:name w:val="题注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标题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正文文本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页眉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批注框文本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Char"/>
    <w:basedOn w:val="19"/>
    <w:link w:val="7"/>
    <w:semiHidden/>
    <w:qFormat/>
    <w:uiPriority w:val="99"/>
    <w:rPr>
      <w:rFonts w:ascii="Times New Roman" w:hAnsi="Times New Roman"/>
      <w:sz w:val="20"/>
      <w:szCs w:val="20"/>
    </w:rPr>
  </w:style>
  <w:style w:type="character" w:customStyle="1" w:styleId="58">
    <w:name w:val="批注主题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FF21B26C-EC98-4454-8C2C-8C642C593AF7}">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3</Pages>
  <Words>707</Words>
  <Characters>4031</Characters>
  <Lines>33</Lines>
  <Paragraphs>9</Paragraphs>
  <TotalTime>3</TotalTime>
  <ScaleCrop>false</ScaleCrop>
  <LinksUpToDate>false</LinksUpToDate>
  <CharactersWithSpaces>4729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2021-11-11T15:29:00Z</dcterms:created>
  <dc:creator>Nokia</dc:creator>
  <cp:lastModifiedBy>Ricky (ZTE)</cp:lastModifiedBy>
  <cp:lastPrinted>2019-04-29T06:52:00Z</cp:lastPrinted>
  <dcterms:modified xsi:type="dcterms:W3CDTF">2021-11-12T13:12:07Z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